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AD" w:rsidRPr="00310CAD" w:rsidRDefault="00310CAD" w:rsidP="00310CAD">
      <w:pPr>
        <w:pStyle w:val="a4"/>
        <w:spacing w:line="360" w:lineRule="auto"/>
        <w:jc w:val="both"/>
        <w:rPr>
          <w:rFonts w:hint="eastAsia"/>
          <w:sz w:val="18"/>
          <w:szCs w:val="18"/>
        </w:rPr>
      </w:pPr>
      <w:r w:rsidRPr="00310CAD">
        <w:rPr>
          <w:rStyle w:val="a3"/>
          <w:rFonts w:hint="eastAsia"/>
          <w:b w:val="0"/>
          <w:sz w:val="18"/>
          <w:szCs w:val="18"/>
        </w:rPr>
        <w:t>各有关单位：</w:t>
      </w:r>
    </w:p>
    <w:p w:rsidR="00310CAD" w:rsidRPr="00310CAD" w:rsidRDefault="00310CAD" w:rsidP="00310CAD">
      <w:pPr>
        <w:pStyle w:val="a4"/>
        <w:spacing w:line="360" w:lineRule="auto"/>
        <w:ind w:firstLineChars="200" w:firstLine="360"/>
        <w:jc w:val="both"/>
        <w:rPr>
          <w:rFonts w:hint="eastAsia"/>
          <w:sz w:val="18"/>
          <w:szCs w:val="18"/>
        </w:rPr>
      </w:pPr>
      <w:r w:rsidRPr="00310CAD">
        <w:rPr>
          <w:rFonts w:hint="eastAsia"/>
          <w:sz w:val="18"/>
          <w:szCs w:val="18"/>
        </w:rPr>
        <w:t>为贯彻落实《上海市城乡建设和交通委员会关于实施在沪施工企业外来从业人员参加城镇职工基本社会保险工作的通知》（沪建交[2012]508号）的精神，结合本市建设工程（含养护维修项目，下同）计价实际情况，现发布上海市建设工程造价中的社会保障费费用标准(2012年度)如下：</w:t>
      </w:r>
    </w:p>
    <w:p w:rsidR="00310CAD" w:rsidRDefault="00310CAD" w:rsidP="00310CAD">
      <w:pPr>
        <w:pStyle w:val="a4"/>
        <w:spacing w:line="360" w:lineRule="auto"/>
        <w:ind w:firstLine="360"/>
        <w:jc w:val="both"/>
        <w:rPr>
          <w:rFonts w:hint="eastAsia"/>
          <w:sz w:val="18"/>
          <w:szCs w:val="18"/>
        </w:rPr>
      </w:pPr>
      <w:r w:rsidRPr="00310CAD">
        <w:rPr>
          <w:rFonts w:hint="eastAsia"/>
          <w:sz w:val="18"/>
          <w:szCs w:val="18"/>
        </w:rPr>
        <w:t>一、建设工程造价中的社会保障费，是指企业为职工（含外来从业人员）缴纳的城镇职工基本社会保险费。</w:t>
      </w:r>
    </w:p>
    <w:p w:rsidR="00310CAD" w:rsidRPr="00310CAD" w:rsidRDefault="00310CAD" w:rsidP="00310CAD">
      <w:pPr>
        <w:pStyle w:val="a4"/>
        <w:spacing w:line="360" w:lineRule="auto"/>
        <w:ind w:firstLine="360"/>
        <w:jc w:val="both"/>
        <w:rPr>
          <w:rFonts w:hint="eastAsia"/>
          <w:sz w:val="18"/>
          <w:szCs w:val="18"/>
        </w:rPr>
      </w:pPr>
      <w:r w:rsidRPr="00310CAD">
        <w:rPr>
          <w:rFonts w:hint="eastAsia"/>
          <w:sz w:val="18"/>
          <w:szCs w:val="18"/>
        </w:rPr>
        <w:t>二、初步设计概算、施工图预算、招标控制价、标底涉及社会保障费，应以工程人工费之和为计算基础，乘以相应各专业工程规定费率计算。其费用标准详见附件。</w:t>
      </w:r>
    </w:p>
    <w:p w:rsidR="00310CAD" w:rsidRPr="00310CAD" w:rsidRDefault="00310CAD" w:rsidP="00310CAD">
      <w:pPr>
        <w:pStyle w:val="a4"/>
        <w:spacing w:line="360" w:lineRule="auto"/>
        <w:jc w:val="both"/>
        <w:rPr>
          <w:rFonts w:hint="eastAsia"/>
          <w:sz w:val="18"/>
          <w:szCs w:val="18"/>
        </w:rPr>
      </w:pPr>
      <w:r w:rsidRPr="00310CAD">
        <w:rPr>
          <w:rFonts w:hint="eastAsia"/>
          <w:sz w:val="18"/>
          <w:szCs w:val="18"/>
        </w:rPr>
        <w:t xml:space="preserve">　　三、投标报价中的社会保障费应当根据项目用工情况，结合本通知费用标准，以工程人工费之和为计算基础，乘以投标人自行测算的费率并填报。 </w:t>
      </w:r>
    </w:p>
    <w:p w:rsidR="00310CAD" w:rsidRPr="00310CAD" w:rsidRDefault="00310CAD" w:rsidP="00310CAD">
      <w:pPr>
        <w:pStyle w:val="a4"/>
        <w:spacing w:line="360" w:lineRule="auto"/>
        <w:jc w:val="both"/>
        <w:rPr>
          <w:rFonts w:hint="eastAsia"/>
          <w:sz w:val="18"/>
          <w:szCs w:val="18"/>
        </w:rPr>
      </w:pPr>
      <w:r w:rsidRPr="00310CAD">
        <w:rPr>
          <w:rFonts w:hint="eastAsia"/>
          <w:sz w:val="18"/>
          <w:szCs w:val="18"/>
        </w:rPr>
        <w:t xml:space="preserve">　　四、</w:t>
      </w:r>
      <w:proofErr w:type="gramStart"/>
      <w:r w:rsidRPr="00310CAD">
        <w:rPr>
          <w:rFonts w:hint="eastAsia"/>
          <w:sz w:val="18"/>
          <w:szCs w:val="18"/>
        </w:rPr>
        <w:t>非招投标</w:t>
      </w:r>
      <w:proofErr w:type="gramEnd"/>
      <w:r w:rsidRPr="00310CAD">
        <w:rPr>
          <w:rFonts w:hint="eastAsia"/>
          <w:sz w:val="18"/>
          <w:szCs w:val="18"/>
        </w:rPr>
        <w:t>的工程项目，其合同价中单独列明的社会保障费，由发包人和承包人按照相关规定协商确定。</w:t>
      </w:r>
    </w:p>
    <w:p w:rsidR="00310CAD" w:rsidRPr="00310CAD" w:rsidRDefault="00310CAD" w:rsidP="00310CAD">
      <w:pPr>
        <w:pStyle w:val="a4"/>
        <w:spacing w:line="360" w:lineRule="auto"/>
        <w:jc w:val="both"/>
        <w:rPr>
          <w:rFonts w:hint="eastAsia"/>
          <w:sz w:val="18"/>
          <w:szCs w:val="18"/>
        </w:rPr>
      </w:pPr>
      <w:r w:rsidRPr="00310CAD">
        <w:rPr>
          <w:rFonts w:hint="eastAsia"/>
          <w:sz w:val="18"/>
          <w:szCs w:val="18"/>
        </w:rPr>
        <w:t xml:space="preserve">　　五、水利工程相关费用标准由市水务工程造价管理部门另行发布。</w:t>
      </w:r>
    </w:p>
    <w:p w:rsidR="00310CAD" w:rsidRPr="00310CAD" w:rsidRDefault="00310CAD" w:rsidP="00310CAD">
      <w:pPr>
        <w:pStyle w:val="a4"/>
        <w:spacing w:line="360" w:lineRule="auto"/>
        <w:jc w:val="both"/>
        <w:rPr>
          <w:rFonts w:hint="eastAsia"/>
          <w:sz w:val="18"/>
          <w:szCs w:val="18"/>
        </w:rPr>
      </w:pPr>
      <w:r w:rsidRPr="00310CAD">
        <w:rPr>
          <w:rFonts w:hint="eastAsia"/>
          <w:sz w:val="18"/>
          <w:szCs w:val="18"/>
        </w:rPr>
        <w:t xml:space="preserve">　　六、本通知自发布之日起施行。本市原建设工程造价中的社会保障费、外来从业人员综合保险费计价规定与本通知不一致之处，以本通知为准。</w:t>
      </w:r>
    </w:p>
    <w:p w:rsidR="00310CAD" w:rsidRPr="00310CAD" w:rsidRDefault="00310CAD" w:rsidP="00310CAD">
      <w:pPr>
        <w:pStyle w:val="a4"/>
        <w:spacing w:line="360" w:lineRule="auto"/>
        <w:jc w:val="both"/>
        <w:rPr>
          <w:rFonts w:hint="eastAsia"/>
          <w:sz w:val="18"/>
          <w:szCs w:val="18"/>
        </w:rPr>
      </w:pPr>
      <w:r w:rsidRPr="00310CAD">
        <w:rPr>
          <w:rFonts w:hint="eastAsia"/>
          <w:sz w:val="18"/>
          <w:szCs w:val="18"/>
        </w:rPr>
        <w:t xml:space="preserve">　　附件：上海市建设工程造价中的社会保障费费用标准(2012年度)</w:t>
      </w:r>
    </w:p>
    <w:p w:rsidR="00310CAD" w:rsidRPr="00310CAD" w:rsidRDefault="00310CAD" w:rsidP="00310CAD">
      <w:pPr>
        <w:pStyle w:val="a4"/>
        <w:spacing w:line="360" w:lineRule="auto"/>
        <w:jc w:val="right"/>
        <w:rPr>
          <w:rFonts w:hint="eastAsia"/>
          <w:sz w:val="18"/>
          <w:szCs w:val="18"/>
        </w:rPr>
      </w:pPr>
      <w:r w:rsidRPr="00310CAD">
        <w:rPr>
          <w:rFonts w:hint="eastAsia"/>
          <w:sz w:val="18"/>
          <w:szCs w:val="18"/>
        </w:rPr>
        <w:t>上海市建筑建材业市场管理总站</w:t>
      </w:r>
    </w:p>
    <w:p w:rsidR="00310CAD" w:rsidRPr="00310CAD" w:rsidRDefault="00310CAD" w:rsidP="00310CAD">
      <w:pPr>
        <w:pStyle w:val="a4"/>
        <w:spacing w:line="360" w:lineRule="auto"/>
        <w:jc w:val="right"/>
        <w:rPr>
          <w:rFonts w:hint="eastAsia"/>
          <w:sz w:val="18"/>
          <w:szCs w:val="18"/>
        </w:rPr>
      </w:pPr>
      <w:r w:rsidRPr="00310CAD">
        <w:rPr>
          <w:rFonts w:hint="eastAsia"/>
          <w:sz w:val="18"/>
          <w:szCs w:val="18"/>
        </w:rPr>
        <w:t>二〇一二年六月十四日</w:t>
      </w:r>
    </w:p>
    <w:p w:rsidR="009E6341" w:rsidRDefault="009E6341" w:rsidP="009E6341">
      <w:pPr>
        <w:tabs>
          <w:tab w:val="left" w:pos="1134"/>
        </w:tabs>
        <w:spacing w:line="360" w:lineRule="auto"/>
        <w:rPr>
          <w:rFonts w:asciiTheme="minorEastAsia" w:hAnsiTheme="minorEastAsia" w:cs="Arial" w:hint="eastAsia"/>
          <w:b/>
          <w:sz w:val="18"/>
          <w:szCs w:val="18"/>
        </w:rPr>
      </w:pPr>
    </w:p>
    <w:p w:rsidR="009E6341" w:rsidRDefault="009E6341" w:rsidP="009E6341">
      <w:pPr>
        <w:tabs>
          <w:tab w:val="left" w:pos="1134"/>
        </w:tabs>
        <w:spacing w:line="360" w:lineRule="auto"/>
        <w:rPr>
          <w:rFonts w:asciiTheme="minorEastAsia" w:hAnsiTheme="minorEastAsia" w:cs="Arial" w:hint="eastAsia"/>
          <w:b/>
          <w:sz w:val="18"/>
          <w:szCs w:val="18"/>
        </w:rPr>
      </w:pPr>
    </w:p>
    <w:p w:rsidR="009E6341" w:rsidRDefault="009E6341" w:rsidP="009E6341">
      <w:pPr>
        <w:tabs>
          <w:tab w:val="left" w:pos="1134"/>
        </w:tabs>
        <w:spacing w:line="360" w:lineRule="auto"/>
        <w:rPr>
          <w:rFonts w:asciiTheme="minorEastAsia" w:hAnsiTheme="minorEastAsia" w:cs="Arial" w:hint="eastAsia"/>
          <w:b/>
          <w:sz w:val="18"/>
          <w:szCs w:val="18"/>
        </w:rPr>
      </w:pPr>
    </w:p>
    <w:p w:rsidR="009E6341" w:rsidRDefault="009E6341" w:rsidP="009E6341">
      <w:pPr>
        <w:tabs>
          <w:tab w:val="left" w:pos="1134"/>
        </w:tabs>
        <w:spacing w:line="360" w:lineRule="auto"/>
        <w:rPr>
          <w:rFonts w:asciiTheme="minorEastAsia" w:hAnsiTheme="minorEastAsia" w:cs="Arial" w:hint="eastAsia"/>
          <w:b/>
          <w:sz w:val="18"/>
          <w:szCs w:val="18"/>
        </w:rPr>
      </w:pPr>
    </w:p>
    <w:p w:rsidR="009E6341" w:rsidRDefault="009E6341" w:rsidP="009E6341">
      <w:pPr>
        <w:tabs>
          <w:tab w:val="left" w:pos="1134"/>
        </w:tabs>
        <w:spacing w:line="360" w:lineRule="auto"/>
        <w:rPr>
          <w:rFonts w:asciiTheme="minorEastAsia" w:hAnsiTheme="minorEastAsia" w:cs="Arial" w:hint="eastAsia"/>
          <w:b/>
          <w:sz w:val="18"/>
          <w:szCs w:val="18"/>
        </w:rPr>
      </w:pPr>
    </w:p>
    <w:p w:rsidR="009E6341" w:rsidRPr="009E6341" w:rsidRDefault="009E6341" w:rsidP="009E6341">
      <w:pPr>
        <w:tabs>
          <w:tab w:val="left" w:pos="1134"/>
        </w:tabs>
        <w:spacing w:line="360" w:lineRule="auto"/>
        <w:rPr>
          <w:rFonts w:asciiTheme="minorEastAsia" w:hAnsiTheme="minorEastAsia" w:cs="Arial" w:hint="eastAsia"/>
          <w:sz w:val="18"/>
          <w:szCs w:val="18"/>
        </w:rPr>
      </w:pPr>
      <w:r w:rsidRPr="009E6341">
        <w:rPr>
          <w:rFonts w:asciiTheme="minorEastAsia" w:hAnsiTheme="minorEastAsia" w:cs="Arial" w:hint="eastAsia"/>
          <w:sz w:val="18"/>
          <w:szCs w:val="18"/>
        </w:rPr>
        <w:lastRenderedPageBreak/>
        <w:t>附件：</w:t>
      </w:r>
    </w:p>
    <w:p w:rsidR="009E6341" w:rsidRPr="009E6341" w:rsidRDefault="009E6341" w:rsidP="009E6341">
      <w:pPr>
        <w:tabs>
          <w:tab w:val="left" w:pos="1134"/>
        </w:tabs>
        <w:spacing w:line="360" w:lineRule="auto"/>
        <w:jc w:val="center"/>
        <w:rPr>
          <w:rFonts w:asciiTheme="minorEastAsia" w:hAnsiTheme="minorEastAsia" w:cs="Arial" w:hint="eastAsia"/>
          <w:sz w:val="18"/>
          <w:szCs w:val="18"/>
        </w:rPr>
      </w:pPr>
      <w:r w:rsidRPr="009E6341">
        <w:rPr>
          <w:rFonts w:asciiTheme="minorEastAsia" w:hAnsiTheme="minorEastAsia" w:cs="Arial" w:hint="eastAsia"/>
          <w:sz w:val="18"/>
          <w:szCs w:val="18"/>
        </w:rPr>
        <w:t>上海市建设工程造价中的社会保障费</w:t>
      </w:r>
    </w:p>
    <w:p w:rsidR="009E6341" w:rsidRPr="009E6341" w:rsidRDefault="009E6341" w:rsidP="009E6341">
      <w:pPr>
        <w:tabs>
          <w:tab w:val="left" w:pos="1134"/>
        </w:tabs>
        <w:spacing w:line="360" w:lineRule="auto"/>
        <w:jc w:val="center"/>
        <w:rPr>
          <w:rFonts w:asciiTheme="minorEastAsia" w:hAnsiTheme="minorEastAsia"/>
          <w:sz w:val="18"/>
          <w:szCs w:val="18"/>
        </w:rPr>
      </w:pPr>
      <w:r w:rsidRPr="009E6341">
        <w:rPr>
          <w:rFonts w:asciiTheme="minorEastAsia" w:hAnsiTheme="minorEastAsia" w:cs="Arial" w:hint="eastAsia"/>
          <w:sz w:val="18"/>
          <w:szCs w:val="18"/>
        </w:rPr>
        <w:t>费用标准（2012年度）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016"/>
        <w:gridCol w:w="1317"/>
        <w:gridCol w:w="1353"/>
        <w:gridCol w:w="2735"/>
      </w:tblGrid>
      <w:tr w:rsidR="009E6341" w:rsidRPr="009E6341" w:rsidTr="009E6341">
        <w:trPr>
          <w:trHeight w:val="563"/>
          <w:tblHeader/>
        </w:trPr>
        <w:tc>
          <w:tcPr>
            <w:tcW w:w="3117" w:type="dxa"/>
            <w:gridSpan w:val="2"/>
            <w:shd w:val="clear" w:color="auto" w:fill="auto"/>
          </w:tcPr>
          <w:p w:rsidR="009E6341" w:rsidRPr="009E6341" w:rsidRDefault="009E6341" w:rsidP="009E6341">
            <w:pPr>
              <w:tabs>
                <w:tab w:val="left" w:pos="1134"/>
              </w:tabs>
              <w:spacing w:line="360" w:lineRule="auto"/>
              <w:jc w:val="center"/>
              <w:rPr>
                <w:rFonts w:ascii="黑体" w:eastAsia="黑体" w:hAnsi="黑体" w:cs="Arial" w:hint="eastAsia"/>
                <w:b/>
                <w:sz w:val="18"/>
                <w:szCs w:val="18"/>
              </w:rPr>
            </w:pPr>
            <w:r w:rsidRPr="009E6341">
              <w:rPr>
                <w:rFonts w:ascii="黑体" w:eastAsia="黑体" w:hAnsi="黑体" w:cs="Arial"/>
                <w:b/>
                <w:sz w:val="18"/>
                <w:szCs w:val="18"/>
              </w:rPr>
              <w:br w:type="page"/>
            </w:r>
            <w:r w:rsidRPr="009E6341">
              <w:rPr>
                <w:rFonts w:ascii="黑体" w:eastAsia="黑体" w:hAnsi="黑体" w:cs="Arial"/>
                <w:b/>
                <w:sz w:val="18"/>
                <w:szCs w:val="18"/>
              </w:rPr>
              <w:br w:type="page"/>
            </w:r>
            <w:r w:rsidRPr="009E6341">
              <w:rPr>
                <w:rFonts w:ascii="黑体" w:eastAsia="黑体" w:hAnsi="黑体" w:cs="Arial" w:hint="eastAsia"/>
                <w:b/>
                <w:sz w:val="18"/>
                <w:szCs w:val="18"/>
              </w:rPr>
              <w:t>工程类别</w:t>
            </w:r>
          </w:p>
        </w:tc>
        <w:tc>
          <w:tcPr>
            <w:tcW w:w="1317" w:type="dxa"/>
            <w:shd w:val="clear" w:color="auto" w:fill="auto"/>
          </w:tcPr>
          <w:p w:rsidR="009E6341" w:rsidRPr="009E6341" w:rsidRDefault="009E6341" w:rsidP="009E6341">
            <w:pPr>
              <w:tabs>
                <w:tab w:val="left" w:pos="1134"/>
              </w:tabs>
              <w:spacing w:line="360" w:lineRule="auto"/>
              <w:jc w:val="center"/>
              <w:rPr>
                <w:rFonts w:ascii="黑体" w:eastAsia="黑体" w:hAnsi="黑体" w:cs="Arial" w:hint="eastAsia"/>
                <w:b/>
                <w:sz w:val="18"/>
                <w:szCs w:val="18"/>
              </w:rPr>
            </w:pPr>
            <w:r w:rsidRPr="009E6341">
              <w:rPr>
                <w:rFonts w:ascii="黑体" w:eastAsia="黑体" w:hAnsi="黑体" w:cs="Arial" w:hint="eastAsia"/>
                <w:b/>
                <w:sz w:val="18"/>
                <w:szCs w:val="18"/>
              </w:rPr>
              <w:t>计算基础</w:t>
            </w:r>
          </w:p>
        </w:tc>
        <w:tc>
          <w:tcPr>
            <w:tcW w:w="1353" w:type="dxa"/>
            <w:shd w:val="clear" w:color="auto" w:fill="auto"/>
          </w:tcPr>
          <w:p w:rsidR="009E6341" w:rsidRPr="009E6341" w:rsidRDefault="009E6341" w:rsidP="009E6341">
            <w:pPr>
              <w:tabs>
                <w:tab w:val="left" w:pos="1134"/>
              </w:tabs>
              <w:spacing w:line="360" w:lineRule="auto"/>
              <w:jc w:val="center"/>
              <w:rPr>
                <w:rFonts w:ascii="黑体" w:eastAsia="黑体" w:hAnsi="黑体" w:cs="Arial" w:hint="eastAsia"/>
                <w:b/>
                <w:sz w:val="18"/>
                <w:szCs w:val="18"/>
              </w:rPr>
            </w:pPr>
            <w:r w:rsidRPr="009E6341">
              <w:rPr>
                <w:rFonts w:ascii="黑体" w:eastAsia="黑体" w:hAnsi="黑体" w:cs="Arial" w:hint="eastAsia"/>
                <w:b/>
                <w:sz w:val="18"/>
                <w:szCs w:val="18"/>
              </w:rPr>
              <w:t>计算费率</w:t>
            </w:r>
          </w:p>
        </w:tc>
        <w:tc>
          <w:tcPr>
            <w:tcW w:w="2735" w:type="dxa"/>
            <w:shd w:val="clear" w:color="auto" w:fill="auto"/>
          </w:tcPr>
          <w:p w:rsidR="009E6341" w:rsidRPr="009E6341" w:rsidRDefault="009E6341" w:rsidP="009E6341">
            <w:pPr>
              <w:tabs>
                <w:tab w:val="left" w:pos="1134"/>
              </w:tabs>
              <w:spacing w:line="360" w:lineRule="auto"/>
              <w:jc w:val="center"/>
              <w:rPr>
                <w:rFonts w:ascii="黑体" w:eastAsia="黑体" w:hAnsi="黑体" w:cs="Arial" w:hint="eastAsia"/>
                <w:b/>
                <w:sz w:val="18"/>
                <w:szCs w:val="18"/>
              </w:rPr>
            </w:pPr>
            <w:r w:rsidRPr="009E6341">
              <w:rPr>
                <w:rFonts w:ascii="黑体" w:eastAsia="黑体" w:hAnsi="黑体" w:cs="Arial" w:hint="eastAsia"/>
                <w:b/>
                <w:sz w:val="18"/>
                <w:szCs w:val="18"/>
              </w:rPr>
              <w:t>备注</w:t>
            </w:r>
          </w:p>
        </w:tc>
      </w:tr>
      <w:tr w:rsidR="009E6341" w:rsidRPr="009E6341" w:rsidTr="009E6341">
        <w:trPr>
          <w:trHeight w:val="696"/>
        </w:trPr>
        <w:tc>
          <w:tcPr>
            <w:tcW w:w="3117" w:type="dxa"/>
            <w:gridSpan w:val="2"/>
            <w:shd w:val="clear" w:color="auto" w:fill="auto"/>
            <w:vAlign w:val="center"/>
          </w:tcPr>
          <w:p w:rsidR="009E6341" w:rsidRPr="009E6341" w:rsidRDefault="009E6341" w:rsidP="00B5050D">
            <w:pPr>
              <w:tabs>
                <w:tab w:val="left" w:pos="1134"/>
              </w:tabs>
              <w:spacing w:line="360" w:lineRule="auto"/>
              <w:rPr>
                <w:rFonts w:asciiTheme="minorEastAsia" w:hAnsiTheme="minorEastAsia" w:cs="Arial" w:hint="eastAsia"/>
                <w:sz w:val="18"/>
                <w:szCs w:val="18"/>
              </w:rPr>
            </w:pPr>
            <w:r w:rsidRPr="009E6341">
              <w:rPr>
                <w:rFonts w:asciiTheme="minorEastAsia" w:hAnsiTheme="minorEastAsia" w:cs="Arial" w:hint="eastAsia"/>
                <w:sz w:val="18"/>
                <w:szCs w:val="18"/>
              </w:rPr>
              <w:t>建筑和装饰工程</w:t>
            </w:r>
          </w:p>
        </w:tc>
        <w:tc>
          <w:tcPr>
            <w:tcW w:w="1317" w:type="dxa"/>
            <w:vMerge w:val="restart"/>
            <w:shd w:val="clear" w:color="auto" w:fill="auto"/>
            <w:vAlign w:val="center"/>
          </w:tcPr>
          <w:p w:rsidR="009E6341" w:rsidRPr="009E6341" w:rsidRDefault="009E6341" w:rsidP="00B5050D">
            <w:pPr>
              <w:tabs>
                <w:tab w:val="left" w:pos="1134"/>
              </w:tabs>
              <w:spacing w:line="360" w:lineRule="auto"/>
              <w:jc w:val="center"/>
              <w:rPr>
                <w:rFonts w:asciiTheme="minorEastAsia" w:hAnsiTheme="minorEastAsia" w:cs="Arial" w:hint="eastAsia"/>
                <w:sz w:val="18"/>
                <w:szCs w:val="18"/>
              </w:rPr>
            </w:pPr>
            <w:r w:rsidRPr="009E6341">
              <w:rPr>
                <w:rFonts w:asciiTheme="minorEastAsia" w:hAnsiTheme="minorEastAsia" w:cs="Arial" w:hint="eastAsia"/>
                <w:sz w:val="18"/>
                <w:szCs w:val="18"/>
              </w:rPr>
              <w:t>人</w:t>
            </w:r>
          </w:p>
          <w:p w:rsidR="009E6341" w:rsidRPr="009E6341" w:rsidRDefault="009E6341" w:rsidP="00B5050D">
            <w:pPr>
              <w:tabs>
                <w:tab w:val="left" w:pos="1134"/>
              </w:tabs>
              <w:spacing w:line="360" w:lineRule="auto"/>
              <w:jc w:val="center"/>
              <w:rPr>
                <w:rFonts w:asciiTheme="minorEastAsia" w:hAnsiTheme="minorEastAsia" w:cs="Arial" w:hint="eastAsia"/>
                <w:sz w:val="18"/>
                <w:szCs w:val="18"/>
              </w:rPr>
            </w:pPr>
            <w:r w:rsidRPr="009E6341">
              <w:rPr>
                <w:rFonts w:asciiTheme="minorEastAsia" w:hAnsiTheme="minorEastAsia" w:cs="Arial" w:hint="eastAsia"/>
                <w:sz w:val="18"/>
                <w:szCs w:val="18"/>
              </w:rPr>
              <w:t>工</w:t>
            </w:r>
          </w:p>
          <w:p w:rsidR="009E6341" w:rsidRPr="009E6341" w:rsidRDefault="009E6341" w:rsidP="00B5050D">
            <w:pPr>
              <w:tabs>
                <w:tab w:val="left" w:pos="1134"/>
              </w:tabs>
              <w:spacing w:line="360" w:lineRule="auto"/>
              <w:jc w:val="center"/>
              <w:rPr>
                <w:rFonts w:asciiTheme="minorEastAsia" w:hAnsiTheme="minorEastAsia" w:cs="Arial" w:hint="eastAsia"/>
                <w:sz w:val="18"/>
                <w:szCs w:val="18"/>
              </w:rPr>
            </w:pPr>
            <w:r w:rsidRPr="009E6341">
              <w:rPr>
                <w:rFonts w:asciiTheme="minorEastAsia" w:hAnsiTheme="minorEastAsia" w:cs="Arial" w:hint="eastAsia"/>
                <w:sz w:val="18"/>
                <w:szCs w:val="18"/>
              </w:rPr>
              <w:t>费</w:t>
            </w:r>
          </w:p>
        </w:tc>
        <w:tc>
          <w:tcPr>
            <w:tcW w:w="1353" w:type="dxa"/>
            <w:shd w:val="clear" w:color="auto" w:fill="auto"/>
            <w:vAlign w:val="center"/>
          </w:tcPr>
          <w:p w:rsidR="009E6341" w:rsidRPr="009E6341" w:rsidRDefault="009E6341" w:rsidP="00B5050D">
            <w:pPr>
              <w:tabs>
                <w:tab w:val="left" w:pos="1134"/>
              </w:tabs>
              <w:spacing w:line="360" w:lineRule="auto"/>
              <w:jc w:val="center"/>
              <w:rPr>
                <w:rFonts w:asciiTheme="minorEastAsia" w:hAnsiTheme="minorEastAsia" w:cs="Arial" w:hint="eastAsia"/>
                <w:sz w:val="18"/>
                <w:szCs w:val="18"/>
              </w:rPr>
            </w:pPr>
            <w:r w:rsidRPr="009E6341">
              <w:rPr>
                <w:rFonts w:asciiTheme="minorEastAsia" w:hAnsiTheme="minorEastAsia" w:cs="Arial" w:hint="eastAsia"/>
                <w:sz w:val="18"/>
                <w:szCs w:val="18"/>
              </w:rPr>
              <w:t>29.41%</w:t>
            </w:r>
          </w:p>
        </w:tc>
        <w:tc>
          <w:tcPr>
            <w:tcW w:w="2735" w:type="dxa"/>
            <w:shd w:val="clear" w:color="auto" w:fill="auto"/>
            <w:vAlign w:val="center"/>
          </w:tcPr>
          <w:p w:rsidR="009E6341" w:rsidRPr="009E6341" w:rsidRDefault="009E6341" w:rsidP="00B5050D">
            <w:pPr>
              <w:tabs>
                <w:tab w:val="left" w:pos="1134"/>
              </w:tabs>
              <w:spacing w:line="360" w:lineRule="auto"/>
              <w:rPr>
                <w:rFonts w:asciiTheme="minorEastAsia" w:hAnsiTheme="minorEastAsia" w:cs="Arial" w:hint="eastAsia"/>
                <w:sz w:val="18"/>
                <w:szCs w:val="18"/>
              </w:rPr>
            </w:pPr>
          </w:p>
        </w:tc>
      </w:tr>
      <w:tr w:rsidR="009E6341" w:rsidRPr="009E6341" w:rsidTr="009E6341">
        <w:trPr>
          <w:trHeight w:val="706"/>
        </w:trPr>
        <w:tc>
          <w:tcPr>
            <w:tcW w:w="3117" w:type="dxa"/>
            <w:gridSpan w:val="2"/>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安装工程</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29.14%</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1101" w:type="dxa"/>
            <w:vMerge w:val="restart"/>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市政工程</w:t>
            </w: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土建</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32.16%</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1101" w:type="dxa"/>
            <w:vMerge/>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安装</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29.14%</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1101" w:type="dxa"/>
            <w:vMerge w:val="restart"/>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轨道交通工程</w:t>
            </w: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土建</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32.16%</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1101" w:type="dxa"/>
            <w:vMerge/>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安装</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29.14%</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3117" w:type="dxa"/>
            <w:gridSpan w:val="2"/>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公用管线工程</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31.03%</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9"/>
        </w:trPr>
        <w:tc>
          <w:tcPr>
            <w:tcW w:w="1101" w:type="dxa"/>
            <w:vMerge w:val="restart"/>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园林工程</w:t>
            </w: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园林绿化</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31.81%</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707"/>
        </w:trPr>
        <w:tc>
          <w:tcPr>
            <w:tcW w:w="1101" w:type="dxa"/>
            <w:vMerge/>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园林建筑</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29.41%</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3117" w:type="dxa"/>
            <w:gridSpan w:val="2"/>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民防工程</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29.41%</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694"/>
        </w:trPr>
        <w:tc>
          <w:tcPr>
            <w:tcW w:w="3117" w:type="dxa"/>
            <w:gridSpan w:val="2"/>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房屋修缮工程</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32.66%</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722"/>
        </w:trPr>
        <w:tc>
          <w:tcPr>
            <w:tcW w:w="1101" w:type="dxa"/>
            <w:vMerge w:val="restart"/>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市政养护</w:t>
            </w: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土建</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37.60%</w:t>
            </w:r>
          </w:p>
        </w:tc>
        <w:tc>
          <w:tcPr>
            <w:tcW w:w="2735" w:type="dxa"/>
            <w:vMerge w:val="restart"/>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含城市道路、城市快速路、越江隧道、黄浦江大桥</w:t>
            </w:r>
          </w:p>
        </w:tc>
      </w:tr>
      <w:tr w:rsidR="009E6341" w:rsidRPr="009E6341" w:rsidTr="009E6341">
        <w:trPr>
          <w:trHeight w:val="690"/>
        </w:trPr>
        <w:tc>
          <w:tcPr>
            <w:tcW w:w="1101" w:type="dxa"/>
            <w:vMerge/>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c>
          <w:tcPr>
            <w:tcW w:w="2016"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机电设备</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39.10%</w:t>
            </w:r>
          </w:p>
        </w:tc>
        <w:tc>
          <w:tcPr>
            <w:tcW w:w="2735" w:type="dxa"/>
            <w:vMerge/>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r w:rsidR="009E6341" w:rsidRPr="009E6341" w:rsidTr="009E6341">
        <w:trPr>
          <w:trHeight w:val="778"/>
        </w:trPr>
        <w:tc>
          <w:tcPr>
            <w:tcW w:w="3117" w:type="dxa"/>
            <w:gridSpan w:val="2"/>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r w:rsidRPr="009E6341">
              <w:rPr>
                <w:rFonts w:asciiTheme="minorEastAsia" w:hAnsiTheme="minorEastAsia" w:cs="Arial" w:hint="eastAsia"/>
                <w:sz w:val="18"/>
                <w:szCs w:val="18"/>
              </w:rPr>
              <w:t>绿地养护</w:t>
            </w:r>
          </w:p>
        </w:tc>
        <w:tc>
          <w:tcPr>
            <w:tcW w:w="1317" w:type="dxa"/>
            <w:vMerge/>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p>
        </w:tc>
        <w:tc>
          <w:tcPr>
            <w:tcW w:w="1353" w:type="dxa"/>
            <w:shd w:val="clear" w:color="auto" w:fill="auto"/>
            <w:vAlign w:val="center"/>
          </w:tcPr>
          <w:p w:rsidR="009E6341" w:rsidRPr="009E6341" w:rsidRDefault="009E6341" w:rsidP="00B5050D">
            <w:pPr>
              <w:tabs>
                <w:tab w:val="left" w:pos="1134"/>
              </w:tabs>
              <w:spacing w:line="400" w:lineRule="exact"/>
              <w:jc w:val="center"/>
              <w:rPr>
                <w:rFonts w:asciiTheme="minorEastAsia" w:hAnsiTheme="minorEastAsia" w:cs="Arial" w:hint="eastAsia"/>
                <w:sz w:val="18"/>
                <w:szCs w:val="18"/>
              </w:rPr>
            </w:pPr>
            <w:r w:rsidRPr="009E6341">
              <w:rPr>
                <w:rFonts w:asciiTheme="minorEastAsia" w:hAnsiTheme="minorEastAsia" w:cs="Arial" w:hint="eastAsia"/>
                <w:sz w:val="18"/>
                <w:szCs w:val="18"/>
              </w:rPr>
              <w:t>33.94%</w:t>
            </w:r>
          </w:p>
        </w:tc>
        <w:tc>
          <w:tcPr>
            <w:tcW w:w="2735" w:type="dxa"/>
            <w:shd w:val="clear" w:color="auto" w:fill="auto"/>
            <w:vAlign w:val="center"/>
          </w:tcPr>
          <w:p w:rsidR="009E6341" w:rsidRPr="009E6341" w:rsidRDefault="009E6341" w:rsidP="00B5050D">
            <w:pPr>
              <w:tabs>
                <w:tab w:val="left" w:pos="1134"/>
              </w:tabs>
              <w:spacing w:line="400" w:lineRule="exact"/>
              <w:rPr>
                <w:rFonts w:asciiTheme="minorEastAsia" w:hAnsiTheme="minorEastAsia" w:cs="Arial" w:hint="eastAsia"/>
                <w:sz w:val="18"/>
                <w:szCs w:val="18"/>
              </w:rPr>
            </w:pPr>
          </w:p>
        </w:tc>
      </w:tr>
    </w:tbl>
    <w:p w:rsidR="009E6341" w:rsidRPr="009E6341" w:rsidRDefault="009E6341" w:rsidP="009E6341">
      <w:pPr>
        <w:tabs>
          <w:tab w:val="left" w:pos="1134"/>
        </w:tabs>
        <w:spacing w:line="400" w:lineRule="exact"/>
        <w:rPr>
          <w:rFonts w:asciiTheme="minorEastAsia" w:hAnsiTheme="minorEastAsia"/>
          <w:sz w:val="18"/>
          <w:szCs w:val="18"/>
        </w:rPr>
      </w:pPr>
      <w:r w:rsidRPr="009E6341">
        <w:rPr>
          <w:rFonts w:asciiTheme="minorEastAsia" w:hAnsiTheme="minorEastAsia" w:hint="eastAsia"/>
          <w:sz w:val="18"/>
          <w:szCs w:val="18"/>
        </w:rPr>
        <w:t>注：</w:t>
      </w:r>
      <w:r w:rsidRPr="009E6341">
        <w:rPr>
          <w:rFonts w:asciiTheme="minorEastAsia" w:hAnsiTheme="minorEastAsia" w:cs="Arial" w:hint="eastAsia"/>
          <w:sz w:val="18"/>
          <w:szCs w:val="18"/>
        </w:rPr>
        <w:t>水利工程相关费用标准由市水务工程造价管理部门另行发布</w:t>
      </w:r>
      <w:r w:rsidRPr="009E6341">
        <w:rPr>
          <w:rFonts w:asciiTheme="minorEastAsia" w:hAnsiTheme="minorEastAsia" w:hint="eastAsia"/>
          <w:sz w:val="18"/>
          <w:szCs w:val="18"/>
        </w:rPr>
        <w:t>。</w:t>
      </w:r>
    </w:p>
    <w:p w:rsidR="00702F96" w:rsidRPr="009E6341" w:rsidRDefault="00702F96"/>
    <w:sectPr w:rsidR="00702F96" w:rsidRPr="009E6341" w:rsidSect="00702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0CAD"/>
    <w:rsid w:val="00310CAD"/>
    <w:rsid w:val="00702F96"/>
    <w:rsid w:val="009E6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
    <w:name w:val="bb"/>
    <w:basedOn w:val="a"/>
    <w:rsid w:val="00310CAD"/>
    <w:pPr>
      <w:widowControl/>
      <w:spacing w:before="100" w:beforeAutospacing="1" w:after="100" w:afterAutospacing="1"/>
      <w:jc w:val="left"/>
    </w:pPr>
    <w:rPr>
      <w:rFonts w:ascii="宋体" w:eastAsia="宋体" w:hAnsi="宋体" w:cs="宋体"/>
      <w:b/>
      <w:bCs/>
      <w:color w:val="990000"/>
      <w:kern w:val="0"/>
      <w:szCs w:val="21"/>
    </w:rPr>
  </w:style>
  <w:style w:type="character" w:styleId="a3">
    <w:name w:val="Strong"/>
    <w:basedOn w:val="a0"/>
    <w:uiPriority w:val="22"/>
    <w:qFormat/>
    <w:rsid w:val="00310CAD"/>
    <w:rPr>
      <w:b/>
      <w:bCs/>
    </w:rPr>
  </w:style>
  <w:style w:type="paragraph" w:styleId="a4">
    <w:name w:val="Normal (Web)"/>
    <w:basedOn w:val="a"/>
    <w:uiPriority w:val="99"/>
    <w:semiHidden/>
    <w:unhideWhenUsed/>
    <w:rsid w:val="00310CA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10CAD"/>
    <w:rPr>
      <w:color w:val="0000FF"/>
      <w:u w:val="single"/>
    </w:rPr>
  </w:style>
</w:styles>
</file>

<file path=word/webSettings.xml><?xml version="1.0" encoding="utf-8"?>
<w:webSettings xmlns:r="http://schemas.openxmlformats.org/officeDocument/2006/relationships" xmlns:w="http://schemas.openxmlformats.org/wordprocessingml/2006/main">
  <w:divs>
    <w:div w:id="698092880">
      <w:bodyDiv w:val="1"/>
      <w:marLeft w:val="0"/>
      <w:marRight w:val="0"/>
      <w:marTop w:val="0"/>
      <w:marBottom w:val="0"/>
      <w:divBdr>
        <w:top w:val="none" w:sz="0" w:space="0" w:color="auto"/>
        <w:left w:val="none" w:sz="0" w:space="0" w:color="auto"/>
        <w:bottom w:val="none" w:sz="0" w:space="0" w:color="auto"/>
        <w:right w:val="none" w:sz="0" w:space="0" w:color="auto"/>
      </w:divBdr>
      <w:divsChild>
        <w:div w:id="104375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FS0000</dc:creator>
  <cp:lastModifiedBy>FS0000</cp:lastModifiedBy>
  <cp:revision>1</cp:revision>
  <dcterms:created xsi:type="dcterms:W3CDTF">2016-07-20T02:31:00Z</dcterms:created>
  <dcterms:modified xsi:type="dcterms:W3CDTF">2016-07-20T02:35:00Z</dcterms:modified>
</cp:coreProperties>
</file>